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国际传播参评作品推荐表</w:t>
      </w:r>
    </w:p>
    <w:tbl>
      <w:tblPr>
        <w:tblStyle w:val="10"/>
        <w:tblW w:w="9805" w:type="dxa"/>
        <w:tblInd w:w="-2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
        <w:gridCol w:w="1550"/>
        <w:gridCol w:w="1390"/>
        <w:gridCol w:w="387"/>
        <w:gridCol w:w="188"/>
        <w:gridCol w:w="1433"/>
        <w:gridCol w:w="142"/>
        <w:gridCol w:w="8"/>
        <w:gridCol w:w="1422"/>
        <w:gridCol w:w="48"/>
        <w:gridCol w:w="945"/>
        <w:gridCol w:w="9"/>
        <w:gridCol w:w="559"/>
        <w:gridCol w:w="300"/>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86" w:type="dxa"/>
          <w:trHeight w:val="1211" w:hRule="atLeast"/>
        </w:trPr>
        <w:tc>
          <w:tcPr>
            <w:tcW w:w="15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48" w:type="dxa"/>
            <w:gridSpan w:val="6"/>
            <w:vAlign w:val="center"/>
          </w:tcPr>
          <w:p>
            <w:pPr>
              <w:spacing w:line="380" w:lineRule="exact"/>
              <w:rPr>
                <w:rFonts w:ascii="华文中宋" w:hAnsi="华文中宋" w:eastAsia="华文中宋"/>
                <w:sz w:val="28"/>
              </w:rPr>
            </w:pPr>
            <w:r>
              <w:rPr>
                <w:rFonts w:hint="eastAsia" w:ascii="仿宋" w:hAnsi="仿宋" w:eastAsia="仿宋" w:cs="仿宋"/>
                <w:color w:val="000000"/>
                <w:sz w:val="22"/>
                <w:szCs w:val="18"/>
              </w:rPr>
              <w:t>Rediscovering the Beauty of Xizang（“寻觅西藏·格桑花开”系列微纪录片）</w:t>
            </w:r>
          </w:p>
        </w:tc>
        <w:tc>
          <w:tcPr>
            <w:tcW w:w="1422"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体 </w:t>
            </w:r>
            <w:r>
              <w:rPr>
                <w:rFonts w:ascii="华文中宋" w:hAnsi="华文中宋" w:eastAsia="华文中宋"/>
                <w:color w:val="000000"/>
                <w:sz w:val="28"/>
              </w:rPr>
              <w:t xml:space="preserve"> </w:t>
            </w:r>
            <w:r>
              <w:rPr>
                <w:rFonts w:hint="eastAsia" w:ascii="华文中宋" w:hAnsi="华文中宋" w:eastAsia="华文中宋"/>
                <w:color w:val="000000"/>
                <w:sz w:val="28"/>
              </w:rPr>
              <w:t>裁</w:t>
            </w:r>
          </w:p>
        </w:tc>
        <w:tc>
          <w:tcPr>
            <w:tcW w:w="3199" w:type="dxa"/>
            <w:gridSpan w:val="6"/>
            <w:vAlign w:val="center"/>
          </w:tcPr>
          <w:p>
            <w:pPr>
              <w:spacing w:line="260" w:lineRule="exact"/>
              <w:rPr>
                <w:rFonts w:ascii="仿宋" w:hAnsi="仿宋" w:eastAsia="仿宋" w:cs="仿宋"/>
                <w:color w:val="000000"/>
                <w:sz w:val="24"/>
                <w:szCs w:val="18"/>
              </w:rPr>
            </w:pPr>
            <w:r>
              <w:rPr>
                <w:rFonts w:hint="eastAsia" w:ascii="仿宋" w:hAnsi="仿宋" w:eastAsia="仿宋" w:cs="仿宋"/>
                <w:color w:val="000000"/>
                <w:sz w:val="24"/>
                <w:szCs w:val="18"/>
              </w:rPr>
              <w:t>系列报道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86" w:type="dxa"/>
          <w:trHeight w:val="1128" w:hRule="atLeast"/>
        </w:trPr>
        <w:tc>
          <w:tcPr>
            <w:tcW w:w="15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3548" w:type="dxa"/>
            <w:gridSpan w:val="6"/>
            <w:vAlign w:val="center"/>
          </w:tcPr>
          <w:p>
            <w:pPr>
              <w:spacing w:line="240" w:lineRule="exact"/>
              <w:rPr>
                <w:rFonts w:ascii="仿宋" w:hAnsi="仿宋" w:eastAsia="仿宋" w:cs="仿宋"/>
                <w:color w:val="000000"/>
                <w:sz w:val="22"/>
                <w:szCs w:val="18"/>
              </w:rPr>
            </w:pPr>
            <w:r>
              <w:rPr>
                <w:rFonts w:hint="eastAsia" w:ascii="仿宋" w:hAnsi="仿宋" w:eastAsia="仿宋" w:cs="仿宋"/>
                <w:color w:val="000000"/>
                <w:sz w:val="22"/>
                <w:szCs w:val="18"/>
              </w:rPr>
              <w:t>集体（廉湘民、李德成、张云、班玛更珠、赵刚、陶媛、杨亚楠、张诗奇、刘晗旭）</w:t>
            </w:r>
          </w:p>
        </w:tc>
        <w:tc>
          <w:tcPr>
            <w:tcW w:w="1422" w:type="dxa"/>
            <w:vAlign w:val="center"/>
          </w:tcPr>
          <w:p>
            <w:pPr>
              <w:spacing w:line="240" w:lineRule="exact"/>
              <w:jc w:val="center"/>
              <w:rPr>
                <w:rFonts w:ascii="仿宋" w:hAnsi="仿宋" w:eastAsia="仿宋"/>
                <w:color w:val="000000"/>
                <w:w w:val="95"/>
                <w:szCs w:val="21"/>
              </w:rPr>
            </w:pPr>
            <w:r>
              <w:rPr>
                <w:rFonts w:hint="eastAsia" w:ascii="华文中宋" w:hAnsi="华文中宋" w:eastAsia="华文中宋"/>
                <w:color w:val="000000"/>
                <w:sz w:val="28"/>
              </w:rPr>
              <w:t xml:space="preserve">编 </w:t>
            </w:r>
            <w:r>
              <w:rPr>
                <w:rFonts w:ascii="华文中宋" w:hAnsi="华文中宋" w:eastAsia="华文中宋"/>
                <w:color w:val="000000"/>
                <w:sz w:val="28"/>
              </w:rPr>
              <w:t xml:space="preserve"> </w:t>
            </w:r>
            <w:r>
              <w:rPr>
                <w:rFonts w:hint="eastAsia" w:ascii="华文中宋" w:hAnsi="华文中宋" w:eastAsia="华文中宋"/>
                <w:color w:val="000000"/>
                <w:sz w:val="28"/>
              </w:rPr>
              <w:t>辑</w:t>
            </w:r>
          </w:p>
        </w:tc>
        <w:tc>
          <w:tcPr>
            <w:tcW w:w="3199" w:type="dxa"/>
            <w:gridSpan w:val="6"/>
            <w:vAlign w:val="center"/>
          </w:tcPr>
          <w:p>
            <w:pPr>
              <w:spacing w:line="240" w:lineRule="exact"/>
              <w:rPr>
                <w:rFonts w:ascii="仿宋" w:hAnsi="仿宋" w:eastAsia="仿宋" w:cs="仿宋"/>
                <w:color w:val="000000"/>
                <w:sz w:val="22"/>
                <w:szCs w:val="18"/>
              </w:rPr>
            </w:pPr>
            <w:r>
              <w:rPr>
                <w:rFonts w:hint="eastAsia" w:ascii="仿宋" w:hAnsi="仿宋" w:eastAsia="仿宋" w:cs="仿宋"/>
                <w:color w:val="000000"/>
                <w:sz w:val="22"/>
                <w:szCs w:val="18"/>
              </w:rPr>
              <w:t>集体（杨谷、仲格嘉、宋乐永、李作泰、吕晓轩、黄森华、车静雯、庄素娴、吕宁）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86" w:type="dxa"/>
          <w:trHeight w:val="680" w:hRule="atLeast"/>
        </w:trPr>
        <w:tc>
          <w:tcPr>
            <w:tcW w:w="15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z w:val="28"/>
              </w:rPr>
              <w:t>原创单位</w:t>
            </w:r>
          </w:p>
        </w:tc>
        <w:tc>
          <w:tcPr>
            <w:tcW w:w="3548" w:type="dxa"/>
            <w:gridSpan w:val="6"/>
            <w:vAlign w:val="center"/>
          </w:tcPr>
          <w:p>
            <w:pPr>
              <w:spacing w:line="320" w:lineRule="exact"/>
              <w:jc w:val="left"/>
              <w:rPr>
                <w:rFonts w:ascii="仿宋" w:hAnsi="仿宋" w:eastAsia="仿宋" w:cs="仿宋"/>
                <w:color w:val="000000"/>
                <w:sz w:val="24"/>
                <w:szCs w:val="18"/>
              </w:rPr>
            </w:pPr>
            <w:r>
              <w:rPr>
                <w:rFonts w:hint="eastAsia" w:ascii="仿宋" w:hAnsi="仿宋" w:eastAsia="仿宋" w:cs="仿宋"/>
                <w:color w:val="000000"/>
                <w:sz w:val="24"/>
                <w:szCs w:val="18"/>
              </w:rPr>
              <w:t>光明网</w:t>
            </w:r>
          </w:p>
        </w:tc>
        <w:tc>
          <w:tcPr>
            <w:tcW w:w="1422" w:type="dxa"/>
            <w:vAlign w:val="center"/>
          </w:tcPr>
          <w:p>
            <w:pPr>
              <w:spacing w:line="260" w:lineRule="exact"/>
              <w:rPr>
                <w:rFonts w:ascii="华文中宋" w:hAnsi="华文中宋" w:eastAsia="华文中宋"/>
                <w:color w:val="000000"/>
                <w:sz w:val="18"/>
              </w:rPr>
            </w:pPr>
            <w:r>
              <w:rPr>
                <w:rFonts w:hint="eastAsia" w:ascii="华文中宋" w:hAnsi="华文中宋" w:eastAsia="华文中宋"/>
                <w:color w:val="000000"/>
                <w:sz w:val="18"/>
              </w:rPr>
              <w:t>发布端/账号/媒体名称</w:t>
            </w:r>
          </w:p>
        </w:tc>
        <w:tc>
          <w:tcPr>
            <w:tcW w:w="3199" w:type="dxa"/>
            <w:gridSpan w:val="6"/>
            <w:vAlign w:val="center"/>
          </w:tcPr>
          <w:p>
            <w:pPr>
              <w:spacing w:line="240" w:lineRule="exact"/>
              <w:rPr>
                <w:rFonts w:ascii="仿宋" w:hAnsi="仿宋" w:eastAsia="仿宋" w:cs="仿宋"/>
                <w:color w:val="000000"/>
                <w:sz w:val="24"/>
                <w:szCs w:val="18"/>
              </w:rPr>
            </w:pPr>
            <w:r>
              <w:rPr>
                <w:rFonts w:hint="eastAsia" w:ascii="仿宋" w:hAnsi="仿宋" w:eastAsia="仿宋"/>
                <w:sz w:val="24"/>
                <w:szCs w:val="24"/>
              </w:rPr>
              <w:t>光明网英语频道，光明日报Facebook、X（原Twitter）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86" w:type="dxa"/>
          <w:trHeight w:val="680" w:hRule="atLeast"/>
        </w:trPr>
        <w:tc>
          <w:tcPr>
            <w:tcW w:w="15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z w:val="24"/>
              </w:rPr>
              <w:t>字数/时长</w:t>
            </w:r>
          </w:p>
        </w:tc>
        <w:tc>
          <w:tcPr>
            <w:tcW w:w="4970" w:type="dxa"/>
            <w:gridSpan w:val="7"/>
            <w:vAlign w:val="center"/>
          </w:tcPr>
          <w:p>
            <w:pPr>
              <w:spacing w:line="240" w:lineRule="exact"/>
              <w:jc w:val="left"/>
              <w:rPr>
                <w:rFonts w:ascii="仿宋" w:hAnsi="仿宋" w:eastAsia="仿宋" w:cs="仿宋"/>
                <w:color w:val="000000"/>
                <w:sz w:val="24"/>
                <w:szCs w:val="18"/>
              </w:rPr>
            </w:pPr>
            <w:r>
              <w:rPr>
                <w:rFonts w:hint="eastAsia" w:ascii="仿宋" w:hAnsi="仿宋" w:eastAsia="仿宋" w:cs="仿宋"/>
                <w:color w:val="000000"/>
                <w:sz w:val="22"/>
                <w:szCs w:val="18"/>
              </w:rPr>
              <w:t>14分12秒</w:t>
            </w:r>
          </w:p>
        </w:tc>
        <w:tc>
          <w:tcPr>
            <w:tcW w:w="993" w:type="dxa"/>
            <w:gridSpan w:val="2"/>
            <w:vAlign w:val="center"/>
          </w:tcPr>
          <w:p>
            <w:pPr>
              <w:spacing w:line="240" w:lineRule="exact"/>
              <w:jc w:val="center"/>
              <w:rPr>
                <w:rFonts w:ascii="仿宋" w:hAnsi="仿宋" w:eastAsia="仿宋" w:cs="仿宋"/>
                <w:color w:val="000000"/>
                <w:sz w:val="24"/>
                <w:szCs w:val="18"/>
              </w:rPr>
            </w:pPr>
            <w:r>
              <w:rPr>
                <w:rFonts w:hint="eastAsia" w:ascii="华文中宋" w:hAnsi="华文中宋" w:eastAsia="华文中宋"/>
                <w:color w:val="000000"/>
                <w:sz w:val="28"/>
              </w:rPr>
              <w:t>语种</w:t>
            </w:r>
          </w:p>
        </w:tc>
        <w:tc>
          <w:tcPr>
            <w:tcW w:w="2206" w:type="dxa"/>
            <w:gridSpan w:val="4"/>
            <w:vAlign w:val="center"/>
          </w:tcPr>
          <w:p>
            <w:pPr>
              <w:spacing w:line="240" w:lineRule="exact"/>
              <w:rPr>
                <w:rFonts w:ascii="仿宋" w:hAnsi="仿宋" w:eastAsia="仿宋" w:cs="仿宋"/>
                <w:color w:val="000000"/>
                <w:sz w:val="24"/>
                <w:szCs w:val="18"/>
              </w:rPr>
            </w:pPr>
            <w:r>
              <w:rPr>
                <w:rFonts w:hint="eastAsia" w:ascii="仿宋" w:hAnsi="仿宋" w:eastAsia="仿宋" w:cs="仿宋"/>
                <w:color w:val="000000"/>
                <w:sz w:val="24"/>
                <w:szCs w:val="18"/>
              </w:rPr>
              <w:t>中英</w:t>
            </w:r>
            <w:r>
              <w:rPr>
                <w:rFonts w:ascii="仿宋" w:hAnsi="仿宋" w:eastAsia="仿宋" w:cs="仿宋"/>
                <w:color w:val="000000"/>
                <w:sz w:val="24"/>
                <w:szCs w:val="18"/>
              </w:rPr>
              <w:t>双语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86" w:type="dxa"/>
          <w:trHeight w:val="680" w:hRule="atLeast"/>
        </w:trPr>
        <w:tc>
          <w:tcPr>
            <w:tcW w:w="15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1965" w:type="dxa"/>
            <w:gridSpan w:val="3"/>
            <w:vAlign w:val="center"/>
          </w:tcPr>
          <w:p>
            <w:pPr>
              <w:spacing w:line="240" w:lineRule="exact"/>
              <w:rPr>
                <w:rFonts w:ascii="仿宋" w:hAnsi="仿宋" w:eastAsia="仿宋" w:cs="仿宋"/>
                <w:color w:val="000000"/>
                <w:sz w:val="22"/>
                <w:szCs w:val="18"/>
              </w:rPr>
            </w:pPr>
            <w:r>
              <w:rPr>
                <w:rFonts w:hint="eastAsia" w:ascii="仿宋" w:hAnsi="仿宋" w:eastAsia="仿宋"/>
                <w:sz w:val="24"/>
                <w:szCs w:val="24"/>
              </w:rPr>
              <w:t>光明网英语频道</w:t>
            </w:r>
          </w:p>
        </w:tc>
        <w:tc>
          <w:tcPr>
            <w:tcW w:w="1575" w:type="dxa"/>
            <w:gridSpan w:val="2"/>
            <w:vAlign w:val="center"/>
          </w:tcPr>
          <w:p>
            <w:pPr>
              <w:spacing w:line="240" w:lineRule="exact"/>
              <w:rPr>
                <w:rFonts w:ascii="仿宋" w:hAnsi="仿宋" w:eastAsia="仿宋" w:cs="仿宋"/>
                <w:color w:val="000000"/>
                <w:sz w:val="22"/>
                <w:szCs w:val="18"/>
              </w:rPr>
            </w:pPr>
            <w:r>
              <w:rPr>
                <w:rFonts w:hint="eastAsia" w:ascii="华文中宋" w:hAnsi="华文中宋" w:eastAsia="华文中宋"/>
                <w:color w:val="000000"/>
                <w:sz w:val="28"/>
              </w:rPr>
              <w:t>刊播日期</w:t>
            </w:r>
          </w:p>
        </w:tc>
        <w:tc>
          <w:tcPr>
            <w:tcW w:w="2432" w:type="dxa"/>
            <w:gridSpan w:val="5"/>
            <w:vAlign w:val="center"/>
          </w:tcPr>
          <w:p>
            <w:pPr>
              <w:spacing w:line="240" w:lineRule="exact"/>
              <w:rPr>
                <w:rFonts w:ascii="仿宋" w:hAnsi="仿宋" w:eastAsia="仿宋" w:cs="仿宋"/>
                <w:color w:val="000000"/>
                <w:sz w:val="22"/>
                <w:szCs w:val="18"/>
              </w:rPr>
            </w:pPr>
            <w:r>
              <w:rPr>
                <w:rFonts w:hint="eastAsia" w:ascii="仿宋" w:hAnsi="仿宋" w:eastAsia="仿宋" w:cs="仿宋"/>
                <w:color w:val="000000"/>
                <w:sz w:val="22"/>
                <w:szCs w:val="18"/>
              </w:rPr>
              <w:t>9月13日至9月17日</w:t>
            </w:r>
          </w:p>
        </w:tc>
        <w:tc>
          <w:tcPr>
            <w:tcW w:w="859"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刊播</w:t>
            </w:r>
          </w:p>
          <w:p>
            <w:pPr>
              <w:spacing w:line="240" w:lineRule="exact"/>
              <w:jc w:val="center"/>
              <w:rPr>
                <w:rFonts w:ascii="仿宋" w:hAnsi="仿宋" w:eastAsia="仿宋" w:cs="仿宋"/>
                <w:color w:val="000000"/>
                <w:sz w:val="22"/>
                <w:szCs w:val="18"/>
              </w:rPr>
            </w:pPr>
            <w:r>
              <w:rPr>
                <w:rFonts w:hint="eastAsia" w:ascii="华文中宋" w:hAnsi="华文中宋" w:eastAsia="华文中宋"/>
                <w:color w:val="000000"/>
                <w:sz w:val="28"/>
              </w:rPr>
              <w:t>周期</w:t>
            </w:r>
          </w:p>
        </w:tc>
        <w:tc>
          <w:tcPr>
            <w:tcW w:w="1338" w:type="dxa"/>
            <w:vAlign w:val="center"/>
          </w:tcPr>
          <w:p>
            <w:pPr>
              <w:spacing w:line="240" w:lineRule="exact"/>
              <w:rPr>
                <w:rFonts w:ascii="仿宋" w:hAnsi="仿宋" w:eastAsia="仿宋" w:cs="仿宋"/>
                <w:color w:val="000000"/>
                <w:sz w:val="2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86" w:type="dxa"/>
          <w:trHeight w:val="680" w:hRule="atLeast"/>
        </w:trPr>
        <w:tc>
          <w:tcPr>
            <w:tcW w:w="2940" w:type="dxa"/>
            <w:gridSpan w:val="2"/>
            <w:vAlign w:val="center"/>
          </w:tcPr>
          <w:p>
            <w:pPr>
              <w:spacing w:line="32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6779" w:type="dxa"/>
            <w:gridSpan w:val="12"/>
            <w:vAlign w:val="center"/>
          </w:tcPr>
          <w:p>
            <w:pPr>
              <w:spacing w:line="240" w:lineRule="exact"/>
              <w:rPr>
                <w:rFonts w:ascii="仿宋" w:hAnsi="仿宋" w:eastAsia="仿宋"/>
                <w:b/>
                <w:sz w:val="24"/>
                <w:szCs w:val="24"/>
              </w:rPr>
            </w:pPr>
            <w:r>
              <w:rPr>
                <w:rFonts w:hint="eastAsia" w:ascii="仿宋" w:hAnsi="仿宋" w:eastAsia="仿宋"/>
                <w:b/>
                <w:sz w:val="24"/>
                <w:szCs w:val="24"/>
              </w:rPr>
              <w:t>代表作1：</w:t>
            </w:r>
          </w:p>
          <w:p>
            <w:pPr>
              <w:spacing w:line="240" w:lineRule="exact"/>
              <w:rPr>
                <w:rFonts w:ascii="仿宋" w:hAnsi="仿宋" w:eastAsia="仿宋"/>
                <w:sz w:val="24"/>
                <w:szCs w:val="24"/>
              </w:rPr>
            </w:pPr>
            <w:r>
              <w:rPr>
                <w:rFonts w:hint="eastAsia" w:ascii="仿宋" w:hAnsi="仿宋" w:eastAsia="仿宋"/>
                <w:sz w:val="24"/>
                <w:szCs w:val="24"/>
              </w:rPr>
              <w:t>North Courtyard of Bar-skor Street: A Flower of Ethnic Unity（八廓街北院：一朵芬芳的民族团结之花）</w:t>
            </w:r>
          </w:p>
          <w:p>
            <w:pPr>
              <w:rPr>
                <w:rFonts w:ascii="仿宋" w:hAnsi="仿宋" w:eastAsia="仿宋"/>
                <w:sz w:val="24"/>
                <w:szCs w:val="24"/>
              </w:rPr>
            </w:pPr>
            <w:r>
              <w:fldChar w:fldCharType="begin"/>
            </w:r>
            <w:r>
              <w:instrText xml:space="preserve"> HYPERLINK "https://en.gmw.cn/2023-09/13/content_36830344.htm" </w:instrText>
            </w:r>
            <w:r>
              <w:fldChar w:fldCharType="separate"/>
            </w:r>
            <w:r>
              <w:rPr>
                <w:rStyle w:val="9"/>
                <w:rFonts w:hint="eastAsia" w:ascii="仿宋" w:hAnsi="仿宋" w:eastAsia="仿宋"/>
                <w:sz w:val="24"/>
                <w:szCs w:val="24"/>
              </w:rPr>
              <w:t>https://en.gmw.cn/2023-09/13/content_36830344.htm</w:t>
            </w:r>
            <w:r>
              <w:rPr>
                <w:rStyle w:val="9"/>
                <w:rFonts w:hint="eastAsia" w:ascii="仿宋" w:hAnsi="仿宋" w:eastAsia="仿宋"/>
                <w:sz w:val="24"/>
                <w:szCs w:val="24"/>
              </w:rPr>
              <w:fldChar w:fldCharType="end"/>
            </w:r>
          </w:p>
          <w:p>
            <w:pPr>
              <w:rPr>
                <w:rFonts w:ascii="仿宋" w:hAnsi="仿宋" w:eastAsia="仿宋"/>
                <w:sz w:val="24"/>
                <w:szCs w:val="24"/>
              </w:rPr>
            </w:pPr>
            <w:r>
              <w:rPr>
                <w:rFonts w:hint="eastAsia" w:ascii="仿宋" w:hAnsi="仿宋" w:eastAsia="仿宋"/>
                <w:sz w:val="24"/>
                <w:szCs w:val="24"/>
              </w:rPr>
              <w:drawing>
                <wp:inline distT="0" distB="0" distL="114300" distR="114300">
                  <wp:extent cx="1438275" cy="1438275"/>
                  <wp:effectExtent l="0" t="0" r="9525" b="9525"/>
                  <wp:docPr id="1" name="图片 1" descr="八廓街北院：一朵芬芳的民族团结之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八廓街北院：一朵芬芳的民族团结之花"/>
                          <pic:cNvPicPr>
                            <a:picLocks noChangeAspect="1"/>
                          </pic:cNvPicPr>
                        </pic:nvPicPr>
                        <pic:blipFill>
                          <a:blip r:embed="rId5" cstate="print"/>
                          <a:stretch>
                            <a:fillRect/>
                          </a:stretch>
                        </pic:blipFill>
                        <pic:spPr>
                          <a:xfrm>
                            <a:off x="0" y="0"/>
                            <a:ext cx="1438275" cy="1438275"/>
                          </a:xfrm>
                          <a:prstGeom prst="rect">
                            <a:avLst/>
                          </a:prstGeom>
                        </pic:spPr>
                      </pic:pic>
                    </a:graphicData>
                  </a:graphic>
                </wp:inline>
              </w:drawing>
            </w:r>
          </w:p>
          <w:p>
            <w:pPr>
              <w:spacing w:line="240" w:lineRule="exact"/>
              <w:rPr>
                <w:rFonts w:ascii="仿宋" w:hAnsi="仿宋" w:eastAsia="仿宋"/>
                <w:b/>
                <w:sz w:val="24"/>
                <w:szCs w:val="24"/>
              </w:rPr>
            </w:pPr>
            <w:r>
              <w:rPr>
                <w:rFonts w:hint="eastAsia" w:ascii="仿宋" w:hAnsi="仿宋" w:eastAsia="仿宋"/>
                <w:b/>
                <w:sz w:val="24"/>
                <w:szCs w:val="24"/>
              </w:rPr>
              <w:t>代表作2：</w:t>
            </w:r>
          </w:p>
          <w:p>
            <w:pPr>
              <w:spacing w:line="240" w:lineRule="exact"/>
              <w:rPr>
                <w:rFonts w:ascii="仿宋" w:hAnsi="仿宋" w:eastAsia="仿宋"/>
                <w:sz w:val="24"/>
                <w:szCs w:val="24"/>
              </w:rPr>
            </w:pPr>
            <w:r>
              <w:rPr>
                <w:rFonts w:hint="eastAsia" w:ascii="仿宋" w:hAnsi="仿宋" w:eastAsia="仿宋"/>
                <w:sz w:val="24"/>
                <w:szCs w:val="24"/>
              </w:rPr>
              <w:t>Princess Wencheng’s Marriage to Xizang:Tea Fragrance on the Qinghai-Xizang Plateau（文成公主入藏：茶香溢满青藏高原）</w:t>
            </w:r>
          </w:p>
          <w:p>
            <w:pPr>
              <w:spacing w:line="240" w:lineRule="exact"/>
              <w:rPr>
                <w:rFonts w:ascii="仿宋" w:hAnsi="仿宋" w:eastAsia="仿宋"/>
                <w:sz w:val="24"/>
                <w:szCs w:val="24"/>
              </w:rPr>
            </w:pPr>
            <w:r>
              <w:fldChar w:fldCharType="begin"/>
            </w:r>
            <w:r>
              <w:instrText xml:space="preserve"> HYPERLINK "https://en.gmw.cn/2023-09/14/content_36833124.htm" </w:instrText>
            </w:r>
            <w:r>
              <w:fldChar w:fldCharType="separate"/>
            </w:r>
            <w:r>
              <w:rPr>
                <w:rStyle w:val="9"/>
                <w:rFonts w:hint="eastAsia" w:ascii="仿宋" w:hAnsi="仿宋" w:eastAsia="仿宋"/>
                <w:sz w:val="24"/>
                <w:szCs w:val="24"/>
              </w:rPr>
              <w:t>https://en.gmw.cn/2023-09/14/content_36833124.htm</w:t>
            </w:r>
            <w:r>
              <w:rPr>
                <w:rStyle w:val="9"/>
                <w:rFonts w:hint="eastAsia" w:ascii="仿宋" w:hAnsi="仿宋" w:eastAsia="仿宋"/>
                <w:sz w:val="24"/>
                <w:szCs w:val="24"/>
              </w:rPr>
              <w:fldChar w:fldCharType="end"/>
            </w:r>
          </w:p>
          <w:p>
            <w:pPr>
              <w:rPr>
                <w:rFonts w:ascii="仿宋" w:hAnsi="仿宋" w:eastAsia="仿宋"/>
                <w:sz w:val="24"/>
                <w:szCs w:val="24"/>
              </w:rPr>
            </w:pPr>
            <w:r>
              <w:rPr>
                <w:rFonts w:hint="eastAsia" w:ascii="仿宋" w:hAnsi="仿宋" w:eastAsia="仿宋"/>
                <w:sz w:val="24"/>
                <w:szCs w:val="24"/>
              </w:rPr>
              <w:drawing>
                <wp:inline distT="0" distB="0" distL="114300" distR="114300">
                  <wp:extent cx="1477010" cy="1477010"/>
                  <wp:effectExtent l="0" t="0" r="1270" b="1270"/>
                  <wp:docPr id="2" name="图片 2" descr="文成公主入藏：茶香溢满青藏高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成公主入藏：茶香溢满青藏高原"/>
                          <pic:cNvPicPr>
                            <a:picLocks noChangeAspect="1"/>
                          </pic:cNvPicPr>
                        </pic:nvPicPr>
                        <pic:blipFill>
                          <a:blip r:embed="rId6" cstate="print"/>
                          <a:stretch>
                            <a:fillRect/>
                          </a:stretch>
                        </pic:blipFill>
                        <pic:spPr>
                          <a:xfrm>
                            <a:off x="0" y="0"/>
                            <a:ext cx="1477010" cy="1477010"/>
                          </a:xfrm>
                          <a:prstGeom prst="rect">
                            <a:avLst/>
                          </a:prstGeom>
                        </pic:spPr>
                      </pic:pic>
                    </a:graphicData>
                  </a:graphic>
                </wp:inline>
              </w:drawing>
            </w:r>
          </w:p>
          <w:p>
            <w:pPr>
              <w:spacing w:line="240" w:lineRule="exact"/>
              <w:rPr>
                <w:rFonts w:ascii="仿宋" w:hAnsi="仿宋" w:eastAsia="仿宋"/>
                <w:b/>
                <w:sz w:val="24"/>
                <w:szCs w:val="24"/>
              </w:rPr>
            </w:pPr>
            <w:r>
              <w:rPr>
                <w:rFonts w:hint="eastAsia" w:ascii="仿宋" w:hAnsi="仿宋" w:eastAsia="仿宋"/>
                <w:b/>
                <w:sz w:val="24"/>
                <w:szCs w:val="24"/>
              </w:rPr>
              <w:t>代表作3：</w:t>
            </w:r>
          </w:p>
          <w:p>
            <w:pPr>
              <w:spacing w:line="240" w:lineRule="exact"/>
              <w:rPr>
                <w:rFonts w:ascii="仿宋" w:hAnsi="仿宋" w:eastAsia="仿宋"/>
                <w:sz w:val="24"/>
                <w:szCs w:val="24"/>
              </w:rPr>
            </w:pPr>
            <w:r>
              <w:rPr>
                <w:rFonts w:hint="eastAsia" w:ascii="仿宋" w:hAnsi="仿宋" w:eastAsia="仿宋"/>
                <w:sz w:val="24"/>
                <w:szCs w:val="24"/>
              </w:rPr>
              <w:t>Karma Pakshi: The Origin of Reincarnation of Sprul-skus（噶玛拔希：转世活佛的缘起）</w:t>
            </w:r>
          </w:p>
          <w:p>
            <w:pPr>
              <w:rPr>
                <w:rFonts w:ascii="仿宋" w:hAnsi="仿宋" w:eastAsia="仿宋"/>
                <w:sz w:val="24"/>
                <w:szCs w:val="24"/>
              </w:rPr>
            </w:pPr>
            <w:r>
              <w:fldChar w:fldCharType="begin"/>
            </w:r>
            <w:r>
              <w:instrText xml:space="preserve"> HYPERLINK "https://en.gmw.cn/2023-09/17/content_36830537.htm" </w:instrText>
            </w:r>
            <w:r>
              <w:fldChar w:fldCharType="separate"/>
            </w:r>
            <w:r>
              <w:rPr>
                <w:rStyle w:val="9"/>
                <w:rFonts w:hint="eastAsia" w:ascii="仿宋" w:hAnsi="仿宋" w:eastAsia="仿宋"/>
                <w:sz w:val="24"/>
                <w:szCs w:val="24"/>
              </w:rPr>
              <w:t>https://en.gmw.cn/2023-09/17/content_36830537.htm</w:t>
            </w:r>
            <w:r>
              <w:rPr>
                <w:rStyle w:val="9"/>
                <w:rFonts w:hint="eastAsia" w:ascii="仿宋" w:hAnsi="仿宋" w:eastAsia="仿宋"/>
                <w:sz w:val="24"/>
                <w:szCs w:val="24"/>
              </w:rPr>
              <w:fldChar w:fldCharType="end"/>
            </w:r>
          </w:p>
          <w:p>
            <w:pPr>
              <w:rPr>
                <w:rFonts w:ascii="仿宋" w:hAnsi="仿宋" w:eastAsia="仿宋"/>
                <w:sz w:val="24"/>
                <w:szCs w:val="24"/>
              </w:rPr>
            </w:pPr>
            <w:r>
              <w:rPr>
                <w:rFonts w:hint="eastAsia" w:ascii="仿宋" w:hAnsi="仿宋" w:eastAsia="仿宋"/>
                <w:sz w:val="24"/>
                <w:szCs w:val="24"/>
              </w:rPr>
              <w:drawing>
                <wp:inline distT="0" distB="0" distL="114300" distR="114300">
                  <wp:extent cx="1477010" cy="1477010"/>
                  <wp:effectExtent l="0" t="0" r="1270" b="1270"/>
                  <wp:docPr id="3" name="图片 3" descr="【寻觅西藏·格桑花开】噶玛拔希：转世活佛的缘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寻觅西藏·格桑花开】噶玛拔希：转世活佛的缘起"/>
                          <pic:cNvPicPr>
                            <a:picLocks noChangeAspect="1"/>
                          </pic:cNvPicPr>
                        </pic:nvPicPr>
                        <pic:blipFill>
                          <a:blip r:embed="rId7" cstate="print"/>
                          <a:stretch>
                            <a:fillRect/>
                          </a:stretch>
                        </pic:blipFill>
                        <pic:spPr>
                          <a:xfrm>
                            <a:off x="0" y="0"/>
                            <a:ext cx="1477010" cy="147701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86" w:type="dxa"/>
          <w:trHeight w:val="680" w:hRule="atLeast"/>
        </w:trPr>
        <w:tc>
          <w:tcPr>
            <w:tcW w:w="15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69" w:type="dxa"/>
            <w:gridSpan w:val="13"/>
            <w:vAlign w:val="center"/>
          </w:tcPr>
          <w:p>
            <w:pPr>
              <w:spacing w:line="240" w:lineRule="exact"/>
              <w:rPr>
                <w:rFonts w:ascii="仿宋" w:hAnsi="仿宋" w:eastAsia="仿宋"/>
                <w:color w:val="000000"/>
                <w:szCs w:val="21"/>
              </w:rPr>
            </w:pPr>
          </w:p>
          <w:p>
            <w:pPr>
              <w:ind w:firstLine="420"/>
              <w:rPr>
                <w:rFonts w:ascii="仿宋" w:hAnsi="仿宋" w:eastAsia="仿宋" w:cs="仿宋"/>
                <w:color w:val="000000"/>
                <w:sz w:val="24"/>
                <w:szCs w:val="18"/>
              </w:rPr>
            </w:pPr>
            <w:r>
              <w:rPr>
                <w:rFonts w:hint="eastAsia" w:ascii="仿宋" w:hAnsi="仿宋" w:eastAsia="仿宋" w:cs="仿宋"/>
                <w:color w:val="000000"/>
                <w:sz w:val="24"/>
                <w:szCs w:val="18"/>
              </w:rPr>
              <w:t>习近平总书记指出，要挖掘、整理、宣传西藏自古以来各民族交往交流交融的历史事实，引导各族群众看到民族的走向和未来，深刻认识到中华民族是命运共同体，促进各民族交往交流交融。</w:t>
            </w:r>
          </w:p>
          <w:p>
            <w:pPr>
              <w:ind w:firstLine="420"/>
              <w:rPr>
                <w:rFonts w:ascii="仿宋" w:hAnsi="仿宋" w:eastAsia="仿宋" w:cs="仿宋"/>
                <w:color w:val="000000"/>
                <w:sz w:val="24"/>
                <w:szCs w:val="18"/>
              </w:rPr>
            </w:pPr>
            <w:r>
              <w:rPr>
                <w:rFonts w:hint="eastAsia" w:ascii="仿宋" w:hAnsi="仿宋" w:eastAsia="仿宋" w:cs="仿宋"/>
                <w:color w:val="000000"/>
                <w:sz w:val="24"/>
                <w:szCs w:val="18"/>
              </w:rPr>
              <w:t>为扎实做好藏学研究成果的创造性转化、营造积极向上的海外网络舆论氛围，由中央网信办网络传播局指导，光明网、中国藏学研究中心联合策划推出的“寻觅西藏·格桑花开”系列微纪录片，通过讲述文成公主入藏、江孜保卫战等西藏重要历史事件，聚焦藏医药浴法、水银洗炼法等藏医药文化结晶，对外讲好西藏故事、传递好中国声音。</w:t>
            </w:r>
          </w:p>
          <w:p>
            <w:pPr>
              <w:ind w:firstLine="420"/>
              <w:rPr>
                <w:rFonts w:ascii="仿宋" w:hAnsi="仿宋" w:eastAsia="仿宋" w:cs="仿宋"/>
                <w:color w:val="000000"/>
                <w:sz w:val="24"/>
                <w:szCs w:val="18"/>
              </w:rPr>
            </w:pPr>
            <w:r>
              <w:rPr>
                <w:rFonts w:hint="eastAsia" w:ascii="仿宋" w:hAnsi="仿宋" w:eastAsia="仿宋" w:cs="仿宋"/>
                <w:color w:val="000000"/>
                <w:sz w:val="24"/>
                <w:szCs w:val="18"/>
              </w:rPr>
              <w:t>系列微纪录片在制作宽度上，通过专家采访、实景拍摄形成完整语境，讲述西藏文化故事；在传播广度上，通过内容拆条让产品同时具有国内外社交属性，适用于多个平台；在产品精度上，通过AIGC、卫星影像等新媒体手段，形成具有创意性、吸睛点、美学感的视听产品，为藏学研究成果的创造性转化提供了有益实践，有力有效地增强了新时代涉藏国际传播的感召力和公信力。</w:t>
            </w:r>
          </w:p>
          <w:p>
            <w:pPr>
              <w:ind w:firstLine="420"/>
              <w:rPr>
                <w:rFonts w:ascii="仿宋" w:hAnsi="仿宋" w:eastAsia="仿宋" w:cs="仿宋"/>
                <w:color w:val="000000"/>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86" w:type="dxa"/>
          <w:trHeight w:val="2053" w:hRule="atLeast"/>
        </w:trPr>
        <w:tc>
          <w:tcPr>
            <w:tcW w:w="15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国</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际</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169" w:type="dxa"/>
            <w:gridSpan w:val="13"/>
            <w:vAlign w:val="center"/>
          </w:tcPr>
          <w:p>
            <w:pPr>
              <w:ind w:firstLine="480" w:firstLineChars="200"/>
              <w:rPr>
                <w:rFonts w:ascii="仿宋" w:hAnsi="仿宋" w:eastAsia="仿宋" w:cs="仿宋"/>
                <w:color w:val="000000"/>
                <w:sz w:val="24"/>
                <w:szCs w:val="18"/>
              </w:rPr>
            </w:pPr>
          </w:p>
          <w:p>
            <w:pPr>
              <w:ind w:firstLine="480" w:firstLineChars="200"/>
              <w:rPr>
                <w:rFonts w:ascii="仿宋" w:hAnsi="仿宋" w:eastAsia="仿宋" w:cs="仿宋"/>
                <w:color w:val="000000"/>
                <w:sz w:val="24"/>
                <w:szCs w:val="18"/>
              </w:rPr>
            </w:pPr>
            <w:r>
              <w:rPr>
                <w:rFonts w:ascii="仿宋" w:hAnsi="仿宋" w:eastAsia="仿宋" w:cs="仿宋"/>
                <w:color w:val="000000"/>
                <w:sz w:val="24"/>
                <w:szCs w:val="18"/>
              </w:rPr>
              <w:t>2023</w:t>
            </w:r>
            <w:r>
              <w:rPr>
                <w:rFonts w:hint="eastAsia" w:ascii="仿宋" w:hAnsi="仿宋" w:eastAsia="仿宋" w:cs="仿宋"/>
                <w:color w:val="000000"/>
                <w:sz w:val="24"/>
                <w:szCs w:val="18"/>
              </w:rPr>
              <w:t>年9月13日至17日，由中央网信办网络传播局指导，光明网、中国藏学研究中心联合策划的“寻觅西藏·格桑花开”系列微纪录片在光明网</w:t>
            </w:r>
            <w:r>
              <w:rPr>
                <w:rFonts w:ascii="仿宋" w:hAnsi="仿宋" w:eastAsia="仿宋" w:cs="仿宋"/>
                <w:color w:val="000000"/>
                <w:sz w:val="24"/>
                <w:szCs w:val="18"/>
              </w:rPr>
              <w:t>英语频道，</w:t>
            </w:r>
            <w:r>
              <w:rPr>
                <w:rFonts w:hint="eastAsia" w:ascii="仿宋" w:hAnsi="仿宋" w:eastAsia="仿宋"/>
                <w:sz w:val="24"/>
                <w:szCs w:val="24"/>
              </w:rPr>
              <w:t>光明日报Facebook、X（原Twitter）官方账号同步发布</w:t>
            </w:r>
            <w:r>
              <w:rPr>
                <w:rFonts w:hint="eastAsia" w:ascii="仿宋" w:hAnsi="仿宋" w:eastAsia="仿宋" w:cs="仿宋"/>
                <w:color w:val="000000"/>
                <w:sz w:val="24"/>
                <w:szCs w:val="18"/>
              </w:rPr>
              <w:t>，海外总浏览量达到312.8万人次，国内外总浏览量</w:t>
            </w:r>
            <w:r>
              <w:rPr>
                <w:rFonts w:ascii="仿宋" w:hAnsi="仿宋" w:eastAsia="仿宋" w:cs="仿宋"/>
                <w:color w:val="000000"/>
                <w:sz w:val="24"/>
                <w:szCs w:val="18"/>
              </w:rPr>
              <w:t>达到</w:t>
            </w:r>
            <w:r>
              <w:rPr>
                <w:rFonts w:hint="eastAsia" w:ascii="仿宋" w:hAnsi="仿宋" w:eastAsia="仿宋" w:cs="仿宋"/>
                <w:color w:val="000000"/>
                <w:sz w:val="24"/>
                <w:szCs w:val="18"/>
              </w:rPr>
              <w:t>3117万人次。</w:t>
            </w:r>
          </w:p>
          <w:p>
            <w:pPr>
              <w:ind w:firstLine="420"/>
              <w:rPr>
                <w:rFonts w:ascii="仿宋" w:hAnsi="仿宋" w:eastAsia="仿宋" w:cs="仿宋"/>
                <w:color w:val="000000"/>
                <w:sz w:val="24"/>
                <w:szCs w:val="18"/>
              </w:rPr>
            </w:pPr>
            <w:r>
              <w:rPr>
                <w:rFonts w:hint="eastAsia" w:ascii="仿宋" w:hAnsi="仿宋" w:eastAsia="仿宋" w:cs="仿宋"/>
                <w:color w:val="000000"/>
                <w:sz w:val="24"/>
                <w:szCs w:val="18"/>
              </w:rPr>
              <w:t>系列微纪录片的主题策划紧扣涉藏国际传播要求，发布周期契合西藏自治区成立58周年纪念日，多篇稿件被要求全网转发，构建全媒体传播格局。在传播</w:t>
            </w:r>
            <w:r>
              <w:rPr>
                <w:rFonts w:ascii="仿宋" w:hAnsi="仿宋" w:eastAsia="仿宋" w:cs="仿宋"/>
                <w:color w:val="000000"/>
                <w:sz w:val="24"/>
                <w:szCs w:val="18"/>
              </w:rPr>
              <w:t>过程中，</w:t>
            </w:r>
            <w:r>
              <w:rPr>
                <w:rFonts w:hint="eastAsia" w:ascii="仿宋" w:hAnsi="仿宋" w:eastAsia="仿宋" w:cs="仿宋"/>
                <w:color w:val="000000"/>
                <w:sz w:val="24"/>
                <w:szCs w:val="18"/>
              </w:rPr>
              <w:t>中国藏学研究中心党组书记、副总干事陈宗荣，党组副书记、总干事郑堆等国内顶级藏学研究专家组成顾问团队，讲述长庆会盟等西藏重要历史事件，阐明西藏自古以来就是祖国不可分割的一部分和各民族交往交流交融的不争事实；聚焦藏红花等青藏高原生态IP，呈现人与自然和谐共生的美好景象和西藏优秀传统文化的传承创新。作品发挥桥梁作用，让世界更好地了解中国，有力有效地增强了新时代涉藏国际传播的感召力和公信力。证明依据、链接等见附件。</w:t>
            </w:r>
          </w:p>
          <w:p>
            <w:pPr>
              <w:ind w:firstLine="420"/>
              <w:rPr>
                <w:rFonts w:ascii="仿宋" w:hAnsi="仿宋" w:eastAsia="仿宋" w:cs="仿宋"/>
                <w:color w:val="000000"/>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86" w:type="dxa"/>
          <w:trHeight w:val="680" w:hRule="atLeast"/>
        </w:trPr>
        <w:tc>
          <w:tcPr>
            <w:tcW w:w="15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69" w:type="dxa"/>
            <w:gridSpan w:val="13"/>
            <w:vAlign w:val="center"/>
          </w:tcPr>
          <w:p>
            <w:pPr>
              <w:rPr>
                <w:rFonts w:ascii="仿宋" w:hAnsi="仿宋" w:eastAsia="仿宋" w:cs="仿宋"/>
                <w:color w:val="000000"/>
                <w:sz w:val="24"/>
                <w:szCs w:val="18"/>
              </w:rPr>
            </w:pPr>
            <w:r>
              <w:rPr>
                <w:rFonts w:hint="eastAsia" w:ascii="仿宋" w:hAnsi="仿宋" w:eastAsia="仿宋" w:cs="仿宋"/>
                <w:color w:val="000000"/>
                <w:sz w:val="24"/>
                <w:szCs w:val="18"/>
              </w:rPr>
              <w:t xml:space="preserve">    </w:t>
            </w:r>
          </w:p>
          <w:p>
            <w:pPr>
              <w:ind w:firstLine="480"/>
              <w:rPr>
                <w:rFonts w:ascii="仿宋" w:hAnsi="仿宋" w:eastAsia="仿宋" w:cs="仿宋"/>
                <w:color w:val="000000"/>
                <w:sz w:val="24"/>
                <w:szCs w:val="18"/>
              </w:rPr>
            </w:pPr>
            <w:r>
              <w:rPr>
                <w:rFonts w:hint="eastAsia" w:ascii="仿宋" w:hAnsi="仿宋" w:eastAsia="仿宋" w:cs="仿宋"/>
                <w:color w:val="000000"/>
                <w:sz w:val="24"/>
                <w:szCs w:val="18"/>
              </w:rPr>
              <w:t>该作品紧扣涉藏国际传播要求，构建全媒体传播格局，创新中国话语和叙事体系、创新传播路径和视觉呈现，让中外受众爱听爱看爱转，让精品内容传得更开更广更远。作品在扎实做好藏学研究成果创造性转化的同时，把西藏故事、中国理论讲深讲活讲透，阐释了中国智慧、中国方案、中国力量。同意推荐。</w:t>
            </w:r>
          </w:p>
          <w:p>
            <w:pPr>
              <w:ind w:firstLine="480"/>
              <w:rPr>
                <w:rFonts w:ascii="仿宋" w:hAnsi="仿宋" w:eastAsia="仿宋" w:cs="仿宋"/>
                <w:color w:val="000000"/>
                <w:sz w:val="24"/>
                <w:szCs w:val="18"/>
              </w:rPr>
            </w:pPr>
          </w:p>
          <w:p>
            <w:pPr>
              <w:spacing w:line="24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p>
          <w:p>
            <w:pPr>
              <w:rPr>
                <w:rFonts w:ascii="仿宋" w:hAnsi="仿宋" w:eastAsia="仿宋"/>
                <w:color w:val="000000"/>
                <w:szCs w:val="21"/>
              </w:rPr>
            </w:pPr>
            <w:r>
              <w:rPr>
                <w:rFonts w:hint="eastAsia" w:ascii="仿宋_GB2312"/>
                <w:color w:val="000000"/>
                <w:sz w:val="28"/>
              </w:rPr>
              <w:t xml:space="preserve">                                 </w:t>
            </w:r>
            <w:r>
              <w:rPr>
                <w:rFonts w:ascii="华文中宋" w:hAnsi="华文中宋" w:eastAsia="华文中宋"/>
                <w:color w:val="000000"/>
                <w:sz w:val="28"/>
              </w:rPr>
              <w:t>20</w:t>
            </w:r>
            <w:r>
              <w:rPr>
                <w:rFonts w:hint="eastAsia" w:ascii="华文中宋" w:hAnsi="华文中宋" w:eastAsia="华文中宋"/>
                <w:color w:val="000000"/>
                <w:sz w:val="28"/>
              </w:rPr>
              <w:t>2</w:t>
            </w:r>
            <w:r>
              <w:rPr>
                <w:rFonts w:ascii="华文中宋" w:hAnsi="华文中宋" w:eastAsia="华文中宋"/>
                <w:color w:val="000000"/>
                <w:sz w:val="28"/>
              </w:rPr>
              <w:t xml:space="preserve">4年 </w:t>
            </w:r>
            <w:r>
              <w:rPr>
                <w:rFonts w:hint="eastAsia" w:ascii="华文中宋" w:hAnsi="华文中宋" w:eastAsia="华文中宋"/>
                <w:color w:val="000000"/>
                <w:sz w:val="28"/>
              </w:rPr>
              <w:t>4</w:t>
            </w:r>
            <w:r>
              <w:rPr>
                <w:rFonts w:ascii="华文中宋" w:hAnsi="华文中宋" w:eastAsia="华文中宋"/>
                <w:color w:val="000000"/>
                <w:sz w:val="28"/>
              </w:rPr>
              <w:t xml:space="preserve">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16</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86" w:type="dxa"/>
          <w:trHeight w:val="680" w:hRule="atLeast"/>
        </w:trPr>
        <w:tc>
          <w:tcPr>
            <w:tcW w:w="1550" w:type="dxa"/>
            <w:vAlign w:val="center"/>
          </w:tcPr>
          <w:p>
            <w:pPr>
              <w:spacing w:line="260" w:lineRule="exact"/>
              <w:jc w:val="center"/>
              <w:rPr>
                <w:rFonts w:ascii="华文中宋" w:hAnsi="华文中宋" w:eastAsia="华文中宋"/>
                <w:color w:val="000000"/>
                <w:sz w:val="28"/>
              </w:rPr>
            </w:pPr>
            <w:r>
              <w:rPr>
                <w:rFonts w:hint="eastAsia" w:ascii="华文中宋" w:hAnsi="华文中宋" w:eastAsia="华文中宋"/>
                <w:color w:val="000000"/>
                <w:sz w:val="28"/>
              </w:rPr>
              <w:t>联系人</w:t>
            </w:r>
          </w:p>
        </w:tc>
        <w:tc>
          <w:tcPr>
            <w:tcW w:w="1777" w:type="dxa"/>
            <w:gridSpan w:val="2"/>
            <w:vAlign w:val="center"/>
          </w:tcPr>
          <w:p>
            <w:pPr>
              <w:spacing w:line="260" w:lineRule="exact"/>
              <w:jc w:val="center"/>
              <w:rPr>
                <w:rFonts w:ascii="华文中宋" w:hAnsi="华文中宋" w:eastAsia="华文中宋"/>
                <w:color w:val="000000"/>
                <w:sz w:val="28"/>
              </w:rPr>
            </w:pPr>
            <w:r>
              <w:rPr>
                <w:rFonts w:hint="eastAsia" w:ascii="仿宋" w:hAnsi="仿宋" w:eastAsia="仿宋" w:cs="仿宋"/>
                <w:color w:val="000000"/>
                <w:sz w:val="24"/>
                <w:szCs w:val="18"/>
              </w:rPr>
              <w:t>赵刚</w:t>
            </w:r>
          </w:p>
        </w:tc>
        <w:tc>
          <w:tcPr>
            <w:tcW w:w="1621" w:type="dxa"/>
            <w:gridSpan w:val="2"/>
            <w:vAlign w:val="center"/>
          </w:tcPr>
          <w:p>
            <w:pPr>
              <w:spacing w:line="260" w:lineRule="exact"/>
              <w:jc w:val="center"/>
              <w:rPr>
                <w:rFonts w:ascii="华文中宋" w:hAnsi="华文中宋" w:eastAsia="华文中宋"/>
                <w:color w:val="000000"/>
                <w:sz w:val="28"/>
              </w:rPr>
            </w:pPr>
            <w:r>
              <w:rPr>
                <w:rFonts w:hint="eastAsia" w:ascii="华文中宋" w:hAnsi="华文中宋" w:eastAsia="华文中宋"/>
                <w:color w:val="000000"/>
                <w:sz w:val="28"/>
              </w:rPr>
              <w:t>邮箱</w:t>
            </w:r>
          </w:p>
        </w:tc>
        <w:tc>
          <w:tcPr>
            <w:tcW w:w="1620" w:type="dxa"/>
            <w:gridSpan w:val="4"/>
            <w:vAlign w:val="center"/>
          </w:tcPr>
          <w:p>
            <w:pPr>
              <w:spacing w:line="260" w:lineRule="exact"/>
              <w:jc w:val="center"/>
              <w:rPr>
                <w:rFonts w:ascii="华文中宋" w:hAnsi="华文中宋" w:eastAsia="华文中宋"/>
                <w:color w:val="000000"/>
                <w:sz w:val="28"/>
              </w:rPr>
            </w:pPr>
            <w:r>
              <w:rPr>
                <w:rFonts w:hint="eastAsia" w:ascii="仿宋" w:hAnsi="仿宋" w:eastAsia="仿宋" w:cs="仿宋"/>
                <w:color w:val="000000"/>
                <w:sz w:val="24"/>
                <w:szCs w:val="18"/>
              </w:rPr>
              <w:t>zhaogang@gmw.cn</w:t>
            </w:r>
          </w:p>
        </w:tc>
        <w:tc>
          <w:tcPr>
            <w:tcW w:w="1513" w:type="dxa"/>
            <w:gridSpan w:val="3"/>
            <w:vAlign w:val="center"/>
          </w:tcPr>
          <w:p>
            <w:pPr>
              <w:spacing w:line="260" w:lineRule="exact"/>
              <w:jc w:val="center"/>
              <w:rPr>
                <w:rFonts w:ascii="华文中宋" w:hAnsi="华文中宋" w:eastAsia="华文中宋"/>
                <w:color w:val="000000"/>
                <w:sz w:val="28"/>
              </w:rPr>
            </w:pPr>
            <w:r>
              <w:rPr>
                <w:rFonts w:hint="eastAsia" w:ascii="华文中宋" w:hAnsi="华文中宋" w:eastAsia="华文中宋"/>
                <w:color w:val="000000"/>
                <w:sz w:val="28"/>
              </w:rPr>
              <w:t>手机</w:t>
            </w:r>
          </w:p>
        </w:tc>
        <w:tc>
          <w:tcPr>
            <w:tcW w:w="1638" w:type="dxa"/>
            <w:gridSpan w:val="2"/>
            <w:vAlign w:val="center"/>
          </w:tcPr>
          <w:p>
            <w:pPr>
              <w:spacing w:line="260" w:lineRule="exact"/>
              <w:jc w:val="center"/>
              <w:rPr>
                <w:rFonts w:ascii="华文中宋" w:hAnsi="华文中宋" w:eastAsia="华文中宋"/>
                <w:color w:val="000000"/>
                <w:sz w:val="28"/>
              </w:rPr>
            </w:pPr>
            <w:r>
              <w:rPr>
                <w:rFonts w:hint="eastAsia" w:ascii="仿宋" w:hAnsi="仿宋" w:eastAsia="仿宋" w:cs="仿宋"/>
                <w:color w:val="000000"/>
                <w:sz w:val="24"/>
                <w:szCs w:val="18"/>
              </w:rPr>
              <w:t>13691111791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636" w:type="dxa"/>
            <w:gridSpan w:val="2"/>
            <w:vAlign w:val="center"/>
          </w:tcPr>
          <w:p>
            <w:pPr>
              <w:spacing w:line="260" w:lineRule="exact"/>
              <w:jc w:val="center"/>
              <w:rPr>
                <w:rFonts w:ascii="华文中宋" w:hAnsi="华文中宋" w:eastAsia="华文中宋"/>
                <w:color w:val="000000"/>
                <w:sz w:val="28"/>
              </w:rPr>
            </w:pPr>
            <w:r>
              <w:rPr>
                <w:rFonts w:hint="eastAsia" w:ascii="华文中宋" w:hAnsi="华文中宋" w:eastAsia="华文中宋"/>
                <w:color w:val="000000"/>
                <w:sz w:val="28"/>
              </w:rPr>
              <w:t>地址</w:t>
            </w:r>
          </w:p>
        </w:tc>
        <w:tc>
          <w:tcPr>
            <w:tcW w:w="5018" w:type="dxa"/>
            <w:gridSpan w:val="8"/>
            <w:vAlign w:val="center"/>
          </w:tcPr>
          <w:p>
            <w:pPr>
              <w:spacing w:line="260" w:lineRule="exact"/>
              <w:jc w:val="center"/>
              <w:rPr>
                <w:rFonts w:ascii="华文中宋" w:hAnsi="华文中宋" w:eastAsia="华文中宋"/>
                <w:color w:val="000000"/>
                <w:sz w:val="28"/>
              </w:rPr>
            </w:pPr>
            <w:r>
              <w:rPr>
                <w:rFonts w:hint="eastAsia" w:ascii="仿宋" w:hAnsi="仿宋" w:eastAsia="仿宋" w:cs="仿宋"/>
                <w:color w:val="000000"/>
                <w:sz w:val="24"/>
                <w:szCs w:val="18"/>
              </w:rPr>
              <w:t>北京市东城区丰泰中心三楼光明网</w:t>
            </w:r>
          </w:p>
        </w:tc>
        <w:tc>
          <w:tcPr>
            <w:tcW w:w="1513" w:type="dxa"/>
            <w:gridSpan w:val="3"/>
            <w:vAlign w:val="center"/>
          </w:tcPr>
          <w:p>
            <w:pPr>
              <w:spacing w:line="260" w:lineRule="exact"/>
              <w:jc w:val="center"/>
              <w:rPr>
                <w:rFonts w:ascii="华文中宋" w:hAnsi="华文中宋" w:eastAsia="华文中宋"/>
                <w:color w:val="000000"/>
                <w:sz w:val="28"/>
              </w:rPr>
            </w:pPr>
            <w:r>
              <w:rPr>
                <w:rFonts w:hint="eastAsia" w:ascii="华文中宋" w:hAnsi="华文中宋" w:eastAsia="华文中宋"/>
                <w:color w:val="000000"/>
                <w:sz w:val="28"/>
              </w:rPr>
              <w:t>邮编</w:t>
            </w:r>
          </w:p>
        </w:tc>
        <w:tc>
          <w:tcPr>
            <w:tcW w:w="1638" w:type="dxa"/>
            <w:gridSpan w:val="2"/>
            <w:vAlign w:val="center"/>
          </w:tcPr>
          <w:p>
            <w:pPr>
              <w:spacing w:line="260" w:lineRule="exact"/>
              <w:jc w:val="center"/>
              <w:rPr>
                <w:rFonts w:ascii="华文中宋" w:hAnsi="华文中宋" w:eastAsia="华文中宋"/>
                <w:color w:val="000000"/>
                <w:sz w:val="28"/>
              </w:rPr>
            </w:pPr>
          </w:p>
        </w:tc>
      </w:tr>
    </w:tbl>
    <w:p>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ljNDEwZDZiYTQ1ZGI5MGNjNTliZDE0YWViOTM3ZmYifQ=="/>
  </w:docVars>
  <w:rsids>
    <w:rsidRoot w:val="00031BB3"/>
    <w:rsid w:val="00031BB3"/>
    <w:rsid w:val="000F6AD9"/>
    <w:rsid w:val="00111B0B"/>
    <w:rsid w:val="001C0D90"/>
    <w:rsid w:val="002A3698"/>
    <w:rsid w:val="003B696C"/>
    <w:rsid w:val="0054134D"/>
    <w:rsid w:val="007B3D1B"/>
    <w:rsid w:val="007F2CCB"/>
    <w:rsid w:val="00872C8B"/>
    <w:rsid w:val="009303AF"/>
    <w:rsid w:val="00984DB1"/>
    <w:rsid w:val="00A01317"/>
    <w:rsid w:val="00A92E49"/>
    <w:rsid w:val="00AC4633"/>
    <w:rsid w:val="00B2455C"/>
    <w:rsid w:val="00B80813"/>
    <w:rsid w:val="00C06CF2"/>
    <w:rsid w:val="00C34496"/>
    <w:rsid w:val="00C4092A"/>
    <w:rsid w:val="00E753D5"/>
    <w:rsid w:val="00F3416F"/>
    <w:rsid w:val="00F94618"/>
    <w:rsid w:val="00FF4090"/>
    <w:rsid w:val="039A544F"/>
    <w:rsid w:val="1C65329E"/>
    <w:rsid w:val="22897A5F"/>
    <w:rsid w:val="27606603"/>
    <w:rsid w:val="28C1249B"/>
    <w:rsid w:val="39202653"/>
    <w:rsid w:val="3BB777D8"/>
    <w:rsid w:val="407254C5"/>
    <w:rsid w:val="41CF6407"/>
    <w:rsid w:val="4AD1191D"/>
    <w:rsid w:val="4E0E6B92"/>
    <w:rsid w:val="4FB40532"/>
    <w:rsid w:val="533B445C"/>
    <w:rsid w:val="556F1B0F"/>
    <w:rsid w:val="59450D07"/>
    <w:rsid w:val="5CCE758F"/>
    <w:rsid w:val="65B35574"/>
    <w:rsid w:val="68BC5088"/>
    <w:rsid w:val="6FB35BE0"/>
    <w:rsid w:val="752B30DA"/>
    <w:rsid w:val="783E7867"/>
    <w:rsid w:val="7D9C12B8"/>
    <w:rsid w:val="7F6C6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b/>
      <w:bCs/>
      <w:kern w:val="44"/>
      <w:sz w:val="48"/>
      <w:szCs w:val="48"/>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3"/>
    <w:basedOn w:val="1"/>
    <w:link w:val="12"/>
    <w:unhideWhenUsed/>
    <w:qFormat/>
    <w:uiPriority w:val="99"/>
    <w:pPr>
      <w:spacing w:after="120"/>
    </w:pPr>
    <w:rPr>
      <w:sz w:val="16"/>
      <w:szCs w:val="16"/>
    </w:r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Hyperlink"/>
    <w:basedOn w:val="7"/>
    <w:unhideWhenUsed/>
    <w:qFormat/>
    <w:uiPriority w:val="99"/>
    <w:rPr>
      <w:color w:val="0000FF"/>
      <w:u w:val="single"/>
    </w:rPr>
  </w:style>
  <w:style w:type="table" w:styleId="11">
    <w:name w:val="Table Grid"/>
    <w:basedOn w:val="1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正文文本 3 Char"/>
    <w:basedOn w:val="7"/>
    <w:link w:val="3"/>
    <w:qFormat/>
    <w:uiPriority w:val="99"/>
    <w:rPr>
      <w:rFonts w:ascii="Calibri" w:hAnsi="Calibri" w:eastAsia="仿宋_GB2312" w:cs="Times New Roman"/>
      <w:sz w:val="16"/>
      <w:szCs w:val="16"/>
    </w:rPr>
  </w:style>
  <w:style w:type="character" w:customStyle="1" w:styleId="13">
    <w:name w:val="页脚 Char"/>
    <w:basedOn w:val="7"/>
    <w:link w:val="5"/>
    <w:qFormat/>
    <w:uiPriority w:val="99"/>
    <w:rPr>
      <w:rFonts w:ascii="Calibri" w:hAnsi="Calibri" w:eastAsia="仿宋_GB2312" w:cs="Times New Roman"/>
      <w:sz w:val="18"/>
      <w:szCs w:val="18"/>
    </w:rPr>
  </w:style>
  <w:style w:type="character" w:customStyle="1" w:styleId="14">
    <w:name w:val="页眉 Char"/>
    <w:basedOn w:val="7"/>
    <w:link w:val="6"/>
    <w:qFormat/>
    <w:uiPriority w:val="99"/>
    <w:rPr>
      <w:rFonts w:ascii="Calibri" w:hAnsi="Calibri" w:eastAsia="仿宋_GB2312" w:cs="Times New Roman"/>
      <w:sz w:val="18"/>
      <w:szCs w:val="18"/>
    </w:rPr>
  </w:style>
  <w:style w:type="paragraph" w:customStyle="1" w:styleId="15">
    <w:name w:val="Table Paragraph"/>
    <w:basedOn w:val="1"/>
    <w:qFormat/>
    <w:uiPriority w:val="1"/>
    <w:pPr>
      <w:autoSpaceDE w:val="0"/>
      <w:autoSpaceDN w:val="0"/>
      <w:jc w:val="left"/>
    </w:pPr>
    <w:rPr>
      <w:rFonts w:ascii="仿宋" w:hAnsi="仿宋" w:eastAsia="仿宋" w:cs="仿宋"/>
      <w:kern w:val="0"/>
      <w:sz w:val="22"/>
      <w:lang w:val="zh-CN" w:bidi="zh-CN"/>
    </w:rPr>
  </w:style>
  <w:style w:type="character" w:customStyle="1" w:styleId="16">
    <w:name w:val="批注框文本 Char"/>
    <w:basedOn w:val="7"/>
    <w:link w:val="4"/>
    <w:semiHidden/>
    <w:uiPriority w:val="99"/>
    <w:rPr>
      <w:rFonts w:ascii="Calibri" w:hAnsi="Calibri"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378</Words>
  <Characters>2159</Characters>
  <Lines>17</Lines>
  <Paragraphs>5</Paragraphs>
  <TotalTime>43</TotalTime>
  <ScaleCrop>false</ScaleCrop>
  <LinksUpToDate>false</LinksUpToDate>
  <CharactersWithSpaces>2532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2024-03-28T06:30:00Z</dcterms:created>
  <dc:creator>acer</dc:creator>
  <cp:lastModifiedBy>zhangxh</cp:lastModifiedBy>
  <dcterms:modified xsi:type="dcterms:W3CDTF">2024-04-17T03:13:21Z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ICV">
    <vt:lpwstr>8D5A7136964A4DD88513E98FBC449538_13</vt:lpwstr>
  </property>
</Properties>
</file>